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Allegato 6 al PTPCT 202</w:t>
      </w:r>
      <w:r>
        <w:rPr>
          <w:b/>
          <w:bCs/>
          <w:i/>
          <w:iCs/>
          <w:sz w:val="20"/>
          <w:szCs w:val="20"/>
        </w:rPr>
        <w:t>5</w:t>
      </w:r>
      <w:r>
        <w:rPr>
          <w:b/>
          <w:bCs/>
          <w:i/>
          <w:iCs/>
          <w:sz w:val="20"/>
          <w:szCs w:val="20"/>
        </w:rPr>
        <w:t xml:space="preserve"> – 202</w:t>
      </w:r>
      <w:r>
        <w:rPr>
          <w:b/>
          <w:bCs/>
          <w:i/>
          <w:iCs/>
          <w:sz w:val="20"/>
          <w:szCs w:val="20"/>
        </w:rPr>
        <w:t>7</w:t>
      </w:r>
      <w:r>
        <w:rPr>
          <w:b/>
          <w:bCs/>
          <w:i/>
          <w:iCs/>
          <w:sz w:val="20"/>
          <w:szCs w:val="20"/>
        </w:rPr>
        <w:t xml:space="preserve"> Ordine Ingegneri di Ancona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smallCaps/>
          <w:color w:val="002060"/>
          <w:sz w:val="28"/>
          <w:szCs w:val="28"/>
          <w:u w:val="none" w:color="002060"/>
        </w:rPr>
      </w:pP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Schema di Piano dei controlli del RPCT dell’Ordine degli ingegneri di Ancona per l’anno 20</w:t>
      </w: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5</w:t>
      </w: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4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Cs/>
          <w:smallCaps/>
          <w:color w:val="002060"/>
          <w:sz w:val="28"/>
          <w:szCs w:val="28"/>
          <w:u w:val="none" w:color="002060"/>
        </w:rPr>
      </w:pP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Allegato 6 al PTPCT  202</w:t>
      </w: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5</w:t>
      </w: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 xml:space="preserve"> – 202</w:t>
      </w:r>
      <w:r>
        <w:rPr>
          <w:rFonts w:ascii="Arial" w:hAnsi="Arial"/>
          <w:b/>
          <w:bCs/>
          <w:smallCaps/>
          <w:color w:val="002060"/>
          <w:sz w:val="28"/>
          <w:szCs w:val="28"/>
          <w:u w:val="none" w:color="002060"/>
        </w:rPr>
        <w:t>7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0"/>
          <w:szCs w:val="20"/>
        </w:rPr>
        <w:t>Avvertenza</w:t>
      </w:r>
      <w:r>
        <w:rPr>
          <w:sz w:val="20"/>
          <w:szCs w:val="20"/>
        </w:rPr>
        <w:t xml:space="preserve"> Il presente schema viene fornito a titolo esemplificativo. La tipologia di controllo e la sua frequenza è frutto di valutazione del RPCT che li individuerà sulla base dei processi e dei rischi individuati e della ponderazione svolta</w:t>
      </w:r>
    </w:p>
    <w:p>
      <w:pPr>
        <w:pStyle w:val="Normal"/>
        <w:rPr/>
      </w:pPr>
      <w:r>
        <w:rPr/>
      </w:r>
    </w:p>
    <w:tbl>
      <w:tblPr>
        <w:tblStyle w:val="TableNormal"/>
        <w:tblW w:w="1473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538"/>
        <w:gridCol w:w="8223"/>
        <w:gridCol w:w="2976"/>
      </w:tblGrid>
      <w:tr>
        <w:trPr>
          <w:trHeight w:val="73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0"/>
                <w:szCs w:val="20"/>
                <w:lang w:val="it-IT" w:bidi="ar-SA"/>
              </w:rPr>
              <w:t>Area di controllo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0"/>
                <w:szCs w:val="20"/>
                <w:lang w:val="it-IT" w:bidi="ar-SA"/>
              </w:rPr>
              <w:t>Controllo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smallCaps/>
                <w:kern w:val="0"/>
                <w:sz w:val="20"/>
                <w:szCs w:val="20"/>
                <w:lang w:val="it-IT" w:bidi="ar-SA"/>
              </w:rPr>
              <w:t>tempistica (°)</w:t>
            </w:r>
          </w:p>
        </w:tc>
      </w:tr>
      <w:tr>
        <w:trPr>
          <w:trHeight w:val="490" w:hRule="atLeast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</w:rPr>
              <w:t>Trasparenza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Sezione “Amministrazione trasparente” – esistenza della sezione e conformità alla normativa di riferimento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semestrale</w:t>
            </w:r>
          </w:p>
        </w:tc>
      </w:tr>
      <w:tr>
        <w:trPr>
          <w:trHeight w:val="49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Accesso Civico generalizzato – inserimento informazioni sul sito istituzionale/sez. amministrazione trasparente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semestrale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Aggiornamento dati ex art. 22 D.lgs. 33/2013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97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Contributi e sovvenzioni – pubblicazione di criteri e modalità cui l’ente si attiene per la concessione di sovvenzioni, contributi, sussidi e ausili finanziari e per l’attribuzione di vantaggi economici di qualunque genere a persone ed enti pubblici e privati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pubblicazione bilancio preventivo e consuntivo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semestrale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</w:rPr>
              <w:t>Codice specifico dei Dipendenti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Adozione Codice – verifica pubblicazione codice e delibera di adozione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Tutela del dipendente segnalante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Su segnalazione 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B9CA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Ricezione regali o altra utilità in difformità dal Codice di comportamento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Su segnalazione </w:t>
            </w:r>
          </w:p>
        </w:tc>
      </w:tr>
      <w:tr>
        <w:trPr>
          <w:trHeight w:val="490" w:hRule="atLeast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</w:rPr>
              <w:t>Incompatibilità ed inconferibilità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esistenza delle autodichiarazioni di mancanza di incompatibilità /inconferibilità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49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EAADB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sussistenza condanne penali in capo agli esponenti dell’organo politico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2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Contratti pubblici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corretta formalizzazione e completa esecuzione dei contratti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Controllo semestrale</w:t>
            </w:r>
          </w:p>
        </w:tc>
      </w:tr>
      <w:tr>
        <w:trPr>
          <w:trHeight w:val="2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C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Consulenze professionali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corretta formalizzazione e completa esecuzione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Controllo semestrale</w:t>
            </w:r>
          </w:p>
        </w:tc>
      </w:tr>
      <w:tr>
        <w:trPr>
          <w:trHeight w:val="57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40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Affidamento incarichi e nomine soggetti interni Ente 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insussistenza cause di incompatibilità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Controllo annuale</w:t>
            </w:r>
          </w:p>
        </w:tc>
      </w:tr>
      <w:tr>
        <w:trPr>
          <w:trHeight w:val="2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Provvedimenti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rendicontazione sovvenzione /contributi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Controllo annuale</w:t>
            </w:r>
          </w:p>
        </w:tc>
      </w:tr>
      <w:tr>
        <w:trPr>
          <w:trHeight w:val="250" w:hRule="atLeast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Misure specifiche di prevenzione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a campione presupposti concessione esonero attività formativa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73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valutazione CV/ cause di incompatibilità /inconferibilità/ conflitto di interesse / esistenza procedura per gestire l’individuazione di professionisti per lo svolgimento di incarichi (su richiesta di terzi)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semestrale</w:t>
            </w:r>
          </w:p>
        </w:tc>
      </w:tr>
      <w:tr>
        <w:trPr>
          <w:trHeight w:val="490" w:hRule="atLeast"/>
        </w:trPr>
        <w:tc>
          <w:tcPr>
            <w:tcW w:w="3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esistenza di procedura per individuazione eventi formativi da inserire nel POF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annuale</w:t>
            </w:r>
          </w:p>
        </w:tc>
      </w:tr>
      <w:tr>
        <w:trPr>
          <w:trHeight w:val="490" w:hRule="atLeast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4B083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corretta registrazione operazioni di spoglio delle schede di votazione per la elezione nuovo consiglio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Controllo annuale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2b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2ba7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2</Pages>
  <Words>336</Words>
  <Characters>2329</Characters>
  <CharactersWithSpaces>2626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2023-01-23T12:50:00Z</dcterms:created>
  <dc:creator>Rita</dc:creator>
  <dc:description/>
  <dc:language>it-IT</dc:language>
  <cp:lastModifiedBy/>
  <dcterms:modified xsi:type="dcterms:W3CDTF">2025-01-20T19:32:19Z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