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Cs/>
          <w:caps/>
          <w:sz w:val="36"/>
          <w:szCs w:val="36"/>
        </w:rPr>
      </w:pPr>
      <w:r>
        <w:rPr>
          <w:b/>
          <w:caps/>
          <w:sz w:val="36"/>
          <w:szCs w:val="36"/>
        </w:rPr>
        <w:t>Tabella delle misure di prevenzione dei rischi</w:t>
      </w:r>
    </w:p>
    <w:p>
      <w:pPr>
        <w:pStyle w:val="Normal"/>
        <w:jc w:val="center"/>
        <w:rPr/>
      </w:pPr>
      <w:r>
        <w:rPr>
          <w:b/>
          <w:bCs/>
          <w:smallCaps/>
          <w:sz w:val="32"/>
          <w:szCs w:val="32"/>
        </w:rPr>
        <w:t>Allegato n. 3 al PTPCT 202</w:t>
      </w:r>
      <w:r>
        <w:rPr>
          <w:b/>
          <w:bCs/>
          <w:smallCaps/>
          <w:sz w:val="32"/>
          <w:szCs w:val="32"/>
        </w:rPr>
        <w:t>5</w:t>
      </w:r>
      <w:r>
        <w:rPr>
          <w:b/>
          <w:bCs/>
          <w:smallCaps/>
          <w:sz w:val="32"/>
          <w:szCs w:val="32"/>
        </w:rPr>
        <w:t xml:space="preserve"> – 202</w:t>
      </w:r>
      <w:r>
        <w:rPr>
          <w:b/>
          <w:bCs/>
          <w:smallCaps/>
          <w:sz w:val="32"/>
          <w:szCs w:val="32"/>
        </w:rPr>
        <w:t>7</w:t>
      </w:r>
      <w:r>
        <w:rPr>
          <w:b/>
          <w:bCs/>
          <w:smallCaps/>
          <w:sz w:val="32"/>
          <w:szCs w:val="32"/>
        </w:rPr>
        <w:t xml:space="preserve"> Dell’Ordine degli ingegneri della provincia di Ancona</w:t>
      </w:r>
    </w:p>
    <w:p>
      <w:pPr>
        <w:pStyle w:val="Normal"/>
        <w:rPr/>
      </w:pPr>
      <w:r>
        <w:rPr/>
      </w:r>
    </w:p>
    <w:tbl>
      <w:tblPr>
        <w:tblStyle w:val="TableNormal"/>
        <w:tblW w:w="13222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848"/>
        <w:gridCol w:w="3174"/>
        <w:gridCol w:w="1867"/>
        <w:gridCol w:w="2671"/>
        <w:gridCol w:w="2662"/>
      </w:tblGrid>
      <w:tr>
        <w:trPr>
          <w:trHeight w:val="269" w:hRule="atLeast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 xml:space="preserve">Processo 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Descrizione del Processo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Responsabile di processo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</w:rPr>
              <w:t>Evento di rischio individuato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Misura di prevenzione</w:t>
            </w:r>
          </w:p>
        </w:tc>
      </w:tr>
      <w:tr>
        <w:trPr>
          <w:trHeight w:val="1440" w:hRule="atLeast"/>
        </w:trPr>
        <w:tc>
          <w:tcPr>
            <w:tcW w:w="2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75D5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PERSONALE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75D5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6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reclutamento e modifica rapporto di lavoro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 valutazione delle modalità di reclutamento /indizione e gestione della procedura competitiva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Consiglio, Consigliere Segretario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bisogno /Alterazione dei risultati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uppressAutoHyphens w:val="true"/>
              <w:spacing w:lineRule="exact" w:line="264"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Procedura scritta (bando di concorso), con predeterminazione requisiti specifici, attitudinali e professionali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uppressAutoHyphens w:val="true"/>
              <w:spacing w:lineRule="exact" w:line="264"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Presenza del Responsabile del Procedimento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uppressAutoHyphens w:val="true"/>
              <w:spacing w:lineRule="exact" w:line="264"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Controllo svolgimento della Commissione di Concorso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430" w:leader="none"/>
              </w:tabs>
              <w:suppressAutoHyphens w:val="true"/>
              <w:spacing w:lineRule="exact" w:line="264" w:before="0" w:after="0"/>
              <w:ind w:left="0" w:hanging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Tutela amministrativa e giurisdizionale del partecipante escluso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progressione di carriera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Gestione del rapporto di lavoro da parte del Segretario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Segretario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legge e di contratto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Applicazione CCNL - obbligo adeguata motivazione </w:t>
            </w:r>
          </w:p>
        </w:tc>
      </w:tr>
      <w:tr>
        <w:trPr>
          <w:trHeight w:val="28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Incarichi di collaborazione professionale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Valutazione consiliare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 bisogno /indizione e gestione della eventuale procedura comparativa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bisogno / Individuazione di favore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Predeterminazione dei requisiti / Valutazione consiliare / Adeguata motivazione / Verifica insussistenza cause incompatibilità/inconferibilità /pubblicazione dati contratto / pubblicazione Curriculum professionale /Pubblicazione in AT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RISCHIO CONTRATTI PUBBLICI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Lavori, servizi e forniture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bisogno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Mancanza di bisogno e programmazione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0"/>
              <w:jc w:val="left"/>
              <w:rPr>
                <w:kern w:val="0"/>
                <w:lang w:val="it-IT" w:bidi="ar-SA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Regolamento interno affidamenti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Valutazione consiliare </w:t>
            </w:r>
            <w:r>
              <w:rPr>
                <w:rFonts w:eastAsia="Times" w:cs="Times" w:ascii="Times" w:hAnsi="Times"/>
                <w:outline/>
                <w:kern w:val="0"/>
                <w:sz w:val="24"/>
                <w:szCs w:val="24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</w:p>
        </w:tc>
      </w:tr>
      <w:tr>
        <w:trPr>
          <w:trHeight w:val="1472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favore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Regolamento interno affidamenti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Regolamento interno di </w:t>
            </w:r>
            <w:r>
              <w:rPr>
                <w:rFonts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t xml:space="preserve"> </w:t>
            </w:r>
            <w:r>
              <w:rPr>
                <w:rFonts w:ascii="Trebuchet MS" w:hAnsi="Trebuchet MS"/>
                <w:kern w:val="0"/>
                <w:sz w:val="20"/>
                <w:szCs w:val="20"/>
                <w:lang w:val="pt-P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contabilita</w:t>
            </w:r>
            <w:r>
              <w:rPr>
                <w:rFonts w:ascii="Arial Unicode MS" w:hAnsi="Arial Unicode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̀</w:t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Albo dei fornitori </w:t>
            </w:r>
            <w:r>
              <w:rPr>
                <w:rFonts w:eastAsia="Trebuchet MS" w:cs="Trebuchet MS" w:ascii="Trebuchet MS" w:hAnsi="Trebuchet MS"/>
                <w:outline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  <w14:textFill>
                  <w14:noFill/>
                </w14:textFill>
              </w:rPr>
              <w:br/>
            </w: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Valutazione consiliare </w:t>
            </w:r>
          </w:p>
        </w:tc>
      </w:tr>
      <w:tr>
        <w:trPr>
          <w:trHeight w:val="97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Sottoscrizione del contratto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Presidente del Consiglio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Segreteria Amministrativa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Pubblicazione del contratto sottoscritto in AT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 rapporto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Segreteria Amministrativa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di amministrazione e contabilità</w:t>
            </w:r>
          </w:p>
        </w:tc>
      </w:tr>
      <w:tr>
        <w:trPr>
          <w:trHeight w:val="2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Patrocini legali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FA9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affidatario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Consiglio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u w:val="none" w:color="FF000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consiliare/Pubblicazione in AT</w:t>
            </w:r>
          </w:p>
        </w:tc>
      </w:tr>
      <w:tr>
        <w:trPr>
          <w:trHeight w:val="255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Consulenze professionali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8" w:space="0" w:color="D33027"/>
              <w:right w:val="single" w:sz="4" w:space="0" w:color="000000"/>
            </w:tcBorders>
            <w:shd w:color="auto" w:fill="00F9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0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bisogno</w:t>
            </w:r>
          </w:p>
        </w:tc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consigliare su richiesta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D33027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bisogno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8" w:space="0" w:color="D33027"/>
              <w:left w:val="single" w:sz="4" w:space="0" w:color="D33027"/>
              <w:bottom w:val="single" w:sz="8" w:space="0" w:color="D33027"/>
              <w:right w:val="single" w:sz="4" w:space="0" w:color="D33027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</w:tr>
      <w:tr>
        <w:trPr>
          <w:trHeight w:val="2650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dell’affidatario</w:t>
            </w:r>
          </w:p>
        </w:tc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Requisiti generici ed insufficienza di criteri oggettivi per verificare che consulente sia realmente in possesso delle competenze necessarie</w:t>
            </w:r>
          </w:p>
        </w:tc>
        <w:tc>
          <w:tcPr>
            <w:tcW w:w="2662" w:type="dxa"/>
            <w:tcBorders>
              <w:top w:val="single" w:sz="8" w:space="0" w:color="D33027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>Predeterminazione dei requisiti / Valutazione consiliare / Adeguata motivazione / Verifica insussistenza cause incompatibilità/inconferibi-</w:t>
            </w:r>
            <w:bookmarkStart w:id="0" w:name="_GoBack"/>
            <w:bookmarkEnd w:id="0"/>
            <w:r>
              <w:rPr>
                <w:rFonts w:ascii="Trebuchet MS" w:hAnsi="Trebuchet MS"/>
                <w:kern w:val="0"/>
                <w:sz w:val="20"/>
                <w:szCs w:val="20"/>
                <w:lang w:val="it-IT" w:bidi="ar-SA"/>
                <w14:textOutline w14:w="0" w14:cap="flat" w14:cmpd="sng" w14:algn="ctr">
                  <w14:solidFill>
                    <w14:srgbClr w14:val="000000"/>
                  </w14:solidFill>
                  <w14:prstDash w14:val="solid"/>
                  <w14:miter w14:lim="400000"/>
                </w14:textOutline>
              </w:rPr>
              <w:t xml:space="preserve">lità /pubblicazione dati contratto / pubblicazione Curriculum professionale </w:t>
            </w:r>
          </w:p>
        </w:tc>
      </w:tr>
      <w:tr>
        <w:trPr>
          <w:trHeight w:val="480" w:hRule="atLeast"/>
        </w:trPr>
        <w:tc>
          <w:tcPr>
            <w:tcW w:w="2848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contrattualizzazione</w:t>
            </w:r>
          </w:p>
        </w:tc>
        <w:tc>
          <w:tcPr>
            <w:tcW w:w="3174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Predisposizione e sottoscrizione del contratto</w:t>
            </w:r>
          </w:p>
        </w:tc>
        <w:tc>
          <w:tcPr>
            <w:tcW w:w="1867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Presidente del Consiglio 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formalizzazione</w:t>
            </w:r>
          </w:p>
        </w:tc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Pubblicazione in AT del contratto sottoscritto</w:t>
            </w:r>
          </w:p>
        </w:tc>
      </w:tr>
      <w:tr>
        <w:trPr>
          <w:trHeight w:val="725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esecuzione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di amministrazione e contabilità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PROVVEDIMENTI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individuazione del beneficiario concessione o sovvenzione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monitoraggio successivo alla concessione di sovvenzioni/contributi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rendicontazione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tesoriere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requisiti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verifica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rendicontazione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Valutazione consiliare /regolamento sovvenzioni e contributi/pubblicazione in 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sovvenzioni e contributi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sovvenzioni e contributi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RISCHIO INCARICHI E NOMINE A SOGGETTI INTERNI ENTE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F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Affidamento incarichi esterni ai consiglieri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 consiliare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conflitto di interesse / assenza di rotazione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Valutazione CV / Verifica incompatibilità ed inconferibilità / conflitti di interesse</w:t>
            </w:r>
          </w:p>
        </w:tc>
      </w:tr>
      <w:tr>
        <w:trPr>
          <w:trHeight w:val="16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Affidamento incarichi esterni alla dipendente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Segretario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conflitto di interesse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Verifica insussistenza cause incompatibilità / inconferibilità /conflitti di interesse/Codice di comportamento per il personale dipendente ed assimilati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0"/>
                <w:szCs w:val="20"/>
                <w:lang w:val="it-IT" w:bidi="ar-SA"/>
              </w:rPr>
              <w:t>AREA DI RISCHIO GESTIONE DELLE ENTRATE,DELLE SPESE E DEL PATRIMONIO-GESTIONE ECONOMICA DELL’ENTE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83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delle entrate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delle morosità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 Presidente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Trattamento di favore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Approvazione del bilancio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/ Predisposizione ad opera del tesoriere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Consiglio, Consigliere Tesoriere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Errata predisposizione per errata tenuta contabilità /Approvazione in assenza rispetto criteri contabili e/o di legge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 / Relazione revisore / Valutazione consiliare / Pubblicazione in AT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Gestione ordinaria dell’ente: spese correnti e funzionali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Attività tesoriere/ segreteria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Consigliere Tesoriere, segretaria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Assenza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di amministrazione e contabilità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b/>
                <w:bCs/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AREA DI RISCHI SPECIFICI ORDINE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Iscrizione sospensione cancellazione trasferimento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Mancato rispetto dei requisiti normativi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 possesso dei requisiti di legge </w:t>
            </w:r>
          </w:p>
        </w:tc>
      </w:tr>
      <w:tr>
        <w:trPr>
          <w:trHeight w:val="40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esoneri per attività formativa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crediti formativi professionali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dei presupposti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presupposti/mancanza di trasparenza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/ mancanza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della competenza professionale /Verifica possesso dei requisiti /Valutazione commissione formazione / Valutazione consiliare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della competenza professionale / Valutazione commissione formazione /Valutazione consiliare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riconoscimento titolo conseguito all’estero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Verifica dei presupposti su richiesta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presenza dei presupposti di legge /Valutazione consiliare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Concessione patrocinio gratuito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o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assenza conflitti di interesse / Valutazione consiliare</w:t>
            </w:r>
          </w:p>
        </w:tc>
      </w:tr>
      <w:tr>
        <w:trPr>
          <w:trHeight w:val="28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membro per partecipazione commissioni, adunanze, gruppi esterni all’Ordine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consigliere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rotazione / Mancata verifica requisiti / mancata trasparenza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assenza conflitti di interesse / Valutazione consiliare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professionista su richiesta esterna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un professionista iscritto all’Ordine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valutazione conflitto d’interesse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CV / Valutazione cause di incompatibilità / inconferibilità / conflitto di interesse / Valutazione consiliare</w:t>
            </w:r>
          </w:p>
        </w:tc>
      </w:tr>
      <w:tr>
        <w:trPr>
          <w:trHeight w:val="145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idefault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</w:tabs>
              <w:suppressAutoHyphens w:val="true"/>
              <w:spacing w:before="0" w:after="24"/>
              <w:jc w:val="both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kern w:val="0"/>
                <w:sz w:val="20"/>
                <w:szCs w:val="20"/>
                <w:lang w:val="it-IT" w:bidi="ar-SA"/>
              </w:rPr>
              <w:t>individuazione terna di collaudatori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Individuazione di tre professionisti iscritti all’Ordine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Mancata verifica idoneità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CV / Valutazione cause di incompatibilità / inconferibilità / conflitto di interesse / Valutazione consiliare</w:t>
            </w:r>
          </w:p>
        </w:tc>
      </w:tr>
      <w:tr>
        <w:trPr>
          <w:trHeight w:val="73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Indizione elezioni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requisiti normativi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presupposti di legge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Costituzione seggi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correttezza regolamentare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Spoglio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corretta registrazione</w:t>
            </w:r>
          </w:p>
        </w:tc>
      </w:tr>
      <w:tr>
        <w:trPr>
          <w:trHeight w:val="4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Insediamento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Assenza dei presupposti di fatto e di diritto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Verifica presupposti di legge</w:t>
            </w:r>
          </w:p>
        </w:tc>
      </w:tr>
      <w:tr>
        <w:trPr>
          <w:trHeight w:val="121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Gestione delle attività formative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di referente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Mancanza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Regolamento per l'aggiornamento della competenza professionale e relative linee di indirizzo</w:t>
            </w:r>
          </w:p>
        </w:tc>
      </w:tr>
      <w:tr>
        <w:trPr>
          <w:trHeight w:val="529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Erogazione diretta di servizi di formazione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Autorizzazione dell’evento formativo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autorizzazione provider di formazione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proposta del referente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Violazione dei regolamenti e Linee guida sulla strutturazione didattica degli eventi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 xml:space="preserve">Mancanza dei presupposti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it-IT" w:bidi="ar-SA"/>
              </w:rPr>
              <w:t>Omessa verifica idoneità del provider/mancanza di trasparenza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 della competenza professionale e relative linee di indirizzo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 della competenza professionale e relative linee di indirizzo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Regolamento per l’aggiornamento  della competenza professionale e relative linee di indirizzo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10" w:hRule="atLeast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eventi in proprio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sponsor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Organizzazione di eventi in proprio con partnership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Valutazione consiliare su richiesta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Consiglio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Mancanza di trasparenza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Omessa verifica conflitto d’interesse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 per organizzazione eventi formativi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 per organizzazione eventi formativi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it-IT" w:bidi="ar-SA"/>
              </w:rPr>
            </w:pPr>
            <w:r>
              <w:rPr>
                <w:kern w:val="0"/>
                <w:sz w:val="20"/>
                <w:szCs w:val="20"/>
                <w:lang w:val="it-IT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Procedura per organizzazione eventi formativi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Trebuchet MS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e4b3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qFormat/>
    <w:rsid w:val="00ee4b3b"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Didefault" w:customStyle="1">
    <w:name w:val="Di default"/>
    <w:qFormat/>
    <w:rsid w:val="00ee4b3b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e4b3b"/>
    <w:rPr>
      <w:lang w:eastAsia="it-IT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LibreOffice/7.5.2.2$Windows_X86_64 LibreOffice_project/53bb9681a964705cf672590721dbc85eb4d0c3a2</Application>
  <AppVersion>15.0000</AppVersion>
  <Pages>8</Pages>
  <Words>1023</Words>
  <Characters>7940</Characters>
  <CharactersWithSpaces>8772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2023-01-23T12:42:00Z</dcterms:created>
  <dc:creator>Rita</dc:creator>
  <dc:description/>
  <dc:language>it-IT</dc:language>
  <cp:lastModifiedBy/>
  <dcterms:modified xsi:type="dcterms:W3CDTF">2025-01-20T19:28:17Z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